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center"/>
        <w:widowControl w:val="1"/>
      </w:pPr>
      <w:r>
        <w:rPr>
          <w:rFonts w:ascii="Times New Roman" w:hAnsi="Times New Roman" w:eastAsia="Times New Roman"/>
          <w:b/>
          <w:sz w:val="24"/>
        </w:rPr>
        <w:t>2026-2027 EĞİTİM-ÖĞRETİM YILI</w:t>
      </w:r>
    </w:p>
    <w:p>
      <w:pPr>
        <w:spacing w:before="0" w:after="160"/>
        <w:jc w:val="center"/>
        <w:widowControl w:val="1"/>
      </w:pPr>
      <w:r>
        <w:rPr>
          <w:rFonts w:ascii="Times New Roman" w:hAnsi="Times New Roman" w:eastAsia="Times New Roman"/>
          <w:b/>
          <w:sz w:val="26"/>
        </w:rPr>
        <w:t>FİZİK DERSİ SENE BAŞI ZÜMRE TOPLANTI TUTANAĞI</w:t>
      </w:r>
    </w:p>
    <w:p>
      <w:pPr>
        <w:spacing w:before="0" w:after="200"/>
        <w:jc w:val="center"/>
        <w:widowControl w:val="1"/>
      </w:pPr>
      <w:r>
        <w:rPr>
          <w:rFonts w:ascii="Times New Roman" w:hAnsi="Times New Roman" w:eastAsia="Times New Roman"/>
          <w:b/>
          <w:sz w:val="22"/>
        </w:rPr>
        <w:t>....................................................... MÜDÜRLÜĞÜNE</w:t>
      </w:r>
    </w:p>
    <w:p>
      <w:pPr>
        <w:spacing w:after="80" w:line="240" w:lineRule="auto"/>
        <w:jc w:val="both"/>
        <w:widowControl w:val="1"/>
      </w:pPr>
      <w:r>
        <w:rPr>
          <w:rFonts w:ascii="Times New Roman" w:hAnsi="Times New Roman" w:eastAsia="Times New Roman"/>
          <w:b w:val="0"/>
          <w:sz w:val="22"/>
        </w:rPr>
        <w:t>2026-2027 Eğitim-Öğretim Yılı Fizik Dersi Sene Başı Zümre Toplantısı, .... / .... / 2026 tarihinde saat .........’te Öğretmenler Odasında, Zümre Başkanı Öğretmen1 başkanlığında aşağıdaki gündem maddelerini görüşmek üzere yapılacaktır.</w:t>
      </w:r>
    </w:p>
    <w:p>
      <w:pPr>
        <w:spacing w:after="80" w:line="240" w:lineRule="auto"/>
        <w:jc w:val="both"/>
        <w:widowControl w:val="1"/>
      </w:pPr>
      <w:r>
        <w:rPr>
          <w:rFonts w:ascii="Times New Roman" w:hAnsi="Times New Roman" w:eastAsia="Times New Roman"/>
          <w:b w:val="0"/>
          <w:sz w:val="22"/>
        </w:rPr>
        <w:t>Gereğini bilgilerinize arz ederim.</w:t>
      </w:r>
    </w:p>
    <w:p>
      <w:pPr>
        <w:spacing w:after="160"/>
        <w:jc w:val="right"/>
        <w:widowControl w:val="1"/>
      </w:pPr>
      <w:r>
        <w:rPr>
          <w:rFonts w:ascii="Times New Roman" w:hAnsi="Times New Roman" w:eastAsia="Times New Roman"/>
          <w:b/>
          <w:sz w:val="22"/>
        </w:rPr>
        <w:t>Öğretmen1</w:t>
        <w:br/>
        <w:t>Zümre Başkanı</w:t>
      </w:r>
    </w:p>
    <w:p>
      <w:pPr>
        <w:spacing w:before="60" w:after="100"/>
        <w:jc w:val="center"/>
        <w:widowControl w:val="1"/>
      </w:pPr>
      <w:r>
        <w:rPr>
          <w:rFonts w:ascii="Times New Roman" w:hAnsi="Times New Roman" w:eastAsia="Times New Roman"/>
          <w:b/>
          <w:sz w:val="24"/>
        </w:rPr>
        <w:t>GÜNDEM MADDELERİ</w:t>
      </w:r>
    </w:p>
    <w:p>
      <w:pPr>
        <w:spacing w:after="40"/>
        <w:ind w:left="113" w:hanging="113"/>
        <w:jc w:val="left"/>
        <w:widowControl w:val="1"/>
      </w:pPr>
      <w:r>
        <w:rPr>
          <w:rFonts w:ascii="Times New Roman" w:hAnsi="Times New Roman" w:eastAsia="Times New Roman"/>
          <w:b w:val="0"/>
          <w:sz w:val="21"/>
        </w:rPr>
        <w:t>1) Açılış ve yoklama</w:t>
      </w:r>
    </w:p>
    <w:p>
      <w:pPr>
        <w:spacing w:after="40"/>
        <w:ind w:left="113" w:hanging="113"/>
        <w:jc w:val="left"/>
        <w:widowControl w:val="1"/>
      </w:pPr>
      <w:r>
        <w:rPr>
          <w:rFonts w:ascii="Times New Roman" w:hAnsi="Times New Roman" w:eastAsia="Times New Roman"/>
          <w:b w:val="0"/>
          <w:sz w:val="21"/>
        </w:rPr>
        <w:t>2) Toplantı gündeminin onaylanması ve önceki zümre kararlarının değerlendirilmesi</w:t>
      </w:r>
    </w:p>
    <w:p>
      <w:pPr>
        <w:spacing w:after="40"/>
        <w:ind w:left="113" w:hanging="113"/>
        <w:jc w:val="left"/>
        <w:widowControl w:val="1"/>
      </w:pPr>
      <w:r>
        <w:rPr>
          <w:rFonts w:ascii="Times New Roman" w:hAnsi="Times New Roman" w:eastAsia="Times New Roman"/>
          <w:b w:val="0"/>
          <w:sz w:val="21"/>
        </w:rPr>
        <w:t>3) Zümre çalışmalarının işleyişi, görev paylaşımı ve yıl içi koordinasyonun belirlenmesi</w:t>
      </w:r>
    </w:p>
    <w:p>
      <w:pPr>
        <w:spacing w:after="40"/>
        <w:ind w:left="113" w:hanging="113"/>
        <w:jc w:val="left"/>
        <w:widowControl w:val="1"/>
      </w:pPr>
      <w:r>
        <w:rPr>
          <w:rFonts w:ascii="Times New Roman" w:hAnsi="Times New Roman" w:eastAsia="Times New Roman"/>
          <w:b w:val="0"/>
          <w:sz w:val="21"/>
        </w:rPr>
        <w:t>4) 2026-2027 eğitim öğretim yılına ilişkin mevzuat ile 2026/70 sayılı Genelgenin değerlendirilmesi</w:t>
      </w:r>
    </w:p>
    <w:p>
      <w:pPr>
        <w:spacing w:after="40"/>
        <w:ind w:left="113" w:hanging="113"/>
        <w:jc w:val="left"/>
        <w:widowControl w:val="1"/>
      </w:pPr>
      <w:r>
        <w:rPr>
          <w:rFonts w:ascii="Times New Roman" w:hAnsi="Times New Roman" w:eastAsia="Times New Roman"/>
          <w:b w:val="0"/>
          <w:sz w:val="21"/>
        </w:rPr>
        <w:t>5) Türkiye Yüzyılı Maarif Modeli ve Fizik Dersi Öğretim Programının uygulanmasına ilişkin esasların görüşülmesi</w:t>
      </w:r>
    </w:p>
    <w:p>
      <w:pPr>
        <w:spacing w:after="40"/>
        <w:ind w:left="113" w:hanging="113"/>
        <w:jc w:val="left"/>
        <w:widowControl w:val="1"/>
      </w:pPr>
      <w:r>
        <w:rPr>
          <w:rFonts w:ascii="Times New Roman" w:hAnsi="Times New Roman" w:eastAsia="Times New Roman"/>
          <w:b w:val="0"/>
          <w:sz w:val="21"/>
        </w:rPr>
        <w:t>6) Yıllık planlar, ders planları, öğrenme çıktıları ve okul temelli planlamaların düzenlenmesi</w:t>
      </w:r>
    </w:p>
    <w:p>
      <w:pPr>
        <w:spacing w:after="40"/>
        <w:ind w:left="113" w:hanging="113"/>
        <w:jc w:val="left"/>
        <w:widowControl w:val="1"/>
      </w:pPr>
      <w:r>
        <w:rPr>
          <w:rFonts w:ascii="Times New Roman" w:hAnsi="Times New Roman" w:eastAsia="Times New Roman"/>
          <w:b w:val="0"/>
          <w:sz w:val="21"/>
        </w:rPr>
        <w:t>7) Derslerde kullanılacak öğretim yöntem ve teknikleri ile öğrenci merkezli uygulamaların belirlenmesi</w:t>
      </w:r>
    </w:p>
    <w:p>
      <w:pPr>
        <w:spacing w:after="40"/>
        <w:ind w:left="113" w:hanging="113"/>
        <w:jc w:val="left"/>
        <w:widowControl w:val="1"/>
      </w:pPr>
      <w:r>
        <w:rPr>
          <w:rFonts w:ascii="Times New Roman" w:hAnsi="Times New Roman" w:eastAsia="Times New Roman"/>
          <w:b w:val="0"/>
          <w:sz w:val="21"/>
        </w:rPr>
        <w:t>8) Deney, laboratuvar, modelleme, ölçme, veri yorumlama ve problem çözme çalışmalarının planlanması</w:t>
      </w:r>
    </w:p>
    <w:p>
      <w:pPr>
        <w:spacing w:after="40"/>
        <w:ind w:left="113" w:hanging="113"/>
        <w:jc w:val="left"/>
        <w:widowControl w:val="1"/>
      </w:pPr>
      <w:r>
        <w:rPr>
          <w:rFonts w:ascii="Times New Roman" w:hAnsi="Times New Roman" w:eastAsia="Times New Roman"/>
          <w:b w:val="0"/>
          <w:sz w:val="21"/>
        </w:rPr>
        <w:t>9) Ders araç gereçleri, öğretim materyalleri, bilişim araçları ve Bakanlık dijital platformlarının kullanımı</w:t>
      </w:r>
    </w:p>
    <w:p>
      <w:pPr>
        <w:spacing w:after="40"/>
        <w:ind w:left="113" w:hanging="113"/>
        <w:jc w:val="left"/>
        <w:widowControl w:val="1"/>
      </w:pPr>
      <w:r>
        <w:rPr>
          <w:rFonts w:ascii="Times New Roman" w:hAnsi="Times New Roman" w:eastAsia="Times New Roman"/>
          <w:b w:val="0"/>
          <w:sz w:val="21"/>
        </w:rPr>
        <w:t>10) İş sağlığı ve güvenliği ile laboratuvar ve uygulama ortamlarında alınacak önlemlerin görüşülmesi</w:t>
      </w:r>
    </w:p>
    <w:p>
      <w:pPr>
        <w:spacing w:after="40"/>
        <w:ind w:left="113" w:hanging="113"/>
        <w:jc w:val="left"/>
        <w:widowControl w:val="1"/>
      </w:pPr>
      <w:r>
        <w:rPr>
          <w:rFonts w:ascii="Times New Roman" w:hAnsi="Times New Roman" w:eastAsia="Times New Roman"/>
          <w:b w:val="0"/>
          <w:sz w:val="21"/>
        </w:rPr>
        <w:t>11) BEP, farklılaştırma, zenginleştirme ve destekleme çalışmalarının planlanması</w:t>
      </w:r>
    </w:p>
    <w:p>
      <w:pPr>
        <w:spacing w:after="40"/>
        <w:ind w:left="113" w:hanging="113"/>
        <w:jc w:val="left"/>
        <w:widowControl w:val="1"/>
      </w:pPr>
      <w:r>
        <w:rPr>
          <w:rFonts w:ascii="Times New Roman" w:hAnsi="Times New Roman" w:eastAsia="Times New Roman"/>
          <w:b w:val="0"/>
          <w:sz w:val="21"/>
        </w:rPr>
        <w:t>12) Ortak yazılılar, mazeret sınavları, uygulamalı sınavlar ve ölçme-değerlendirme araçlarının planlanması</w:t>
      </w:r>
    </w:p>
    <w:p>
      <w:pPr>
        <w:spacing w:after="40"/>
        <w:ind w:left="113" w:hanging="113"/>
        <w:jc w:val="left"/>
        <w:widowControl w:val="1"/>
      </w:pPr>
      <w:r>
        <w:rPr>
          <w:rFonts w:ascii="Times New Roman" w:hAnsi="Times New Roman" w:eastAsia="Times New Roman"/>
          <w:b w:val="0"/>
          <w:sz w:val="21"/>
        </w:rPr>
        <w:t>13) Sınav sonuçlarının analizi, öğrenme eksiklerinin giderilmesi ve öğrenci başarısını artıracak çalışmaların belirlenmesi</w:t>
      </w:r>
    </w:p>
    <w:p>
      <w:pPr>
        <w:spacing w:after="40"/>
        <w:ind w:left="113" w:hanging="113"/>
        <w:jc w:val="left"/>
        <w:widowControl w:val="1"/>
      </w:pPr>
      <w:r>
        <w:rPr>
          <w:rFonts w:ascii="Times New Roman" w:hAnsi="Times New Roman" w:eastAsia="Times New Roman"/>
          <w:b w:val="0"/>
          <w:sz w:val="21"/>
        </w:rPr>
        <w:t>14) Proje, performans, araştırma, geliştirme, tasarım ve ürün çalışmalarının planlanması</w:t>
      </w:r>
    </w:p>
    <w:p>
      <w:pPr>
        <w:spacing w:after="40"/>
        <w:ind w:left="113" w:hanging="113"/>
        <w:jc w:val="left"/>
        <w:widowControl w:val="1"/>
      </w:pPr>
      <w:r>
        <w:rPr>
          <w:rFonts w:ascii="Times New Roman" w:hAnsi="Times New Roman" w:eastAsia="Times New Roman"/>
          <w:b w:val="0"/>
          <w:sz w:val="21"/>
        </w:rPr>
        <w:t>15) Disiplinler arası çalışmalar, bilimsel ve teknolojik gelişmeler ile çoklu okuryazarlık becerilerinin derse yansıtılması</w:t>
      </w:r>
    </w:p>
    <w:p>
      <w:pPr>
        <w:spacing w:after="40"/>
        <w:ind w:left="113" w:hanging="113"/>
        <w:jc w:val="left"/>
        <w:widowControl w:val="1"/>
      </w:pPr>
      <w:r>
        <w:rPr>
          <w:rFonts w:ascii="Times New Roman" w:hAnsi="Times New Roman" w:eastAsia="Times New Roman"/>
          <w:b w:val="0"/>
          <w:sz w:val="21"/>
        </w:rPr>
        <w:t>16) Atatürkçülük konuları, millî-manevi değerler ve sosyal sorumluluk çalışmalarının ders süreçleriyle ilişkilendirilmesi</w:t>
      </w:r>
    </w:p>
    <w:p>
      <w:pPr>
        <w:spacing w:after="40"/>
        <w:ind w:left="113" w:hanging="113"/>
        <w:jc w:val="left"/>
        <w:widowControl w:val="1"/>
      </w:pPr>
      <w:r>
        <w:rPr>
          <w:rFonts w:ascii="Times New Roman" w:hAnsi="Times New Roman" w:eastAsia="Times New Roman"/>
          <w:b w:val="0"/>
          <w:sz w:val="21"/>
        </w:rPr>
        <w:t>17) Gezi, gözlem, araştırma ve okul dışı öğrenme etkinliklerinin planlanması</w:t>
      </w:r>
    </w:p>
    <w:p>
      <w:pPr>
        <w:spacing w:after="40"/>
        <w:ind w:left="113" w:hanging="113"/>
        <w:jc w:val="left"/>
        <w:widowControl w:val="1"/>
      </w:pPr>
      <w:r>
        <w:rPr>
          <w:rFonts w:ascii="Times New Roman" w:hAnsi="Times New Roman" w:eastAsia="Times New Roman"/>
          <w:b w:val="0"/>
          <w:sz w:val="21"/>
        </w:rPr>
        <w:t>18) Ulusal ve uluslararası sınav, yarışma, proje ve bilimsel etkinliklere yönelik çalışmaların görüşülmesi</w:t>
      </w:r>
    </w:p>
    <w:p>
      <w:pPr>
        <w:spacing w:after="40"/>
        <w:ind w:left="113" w:hanging="113"/>
        <w:jc w:val="left"/>
        <w:widowControl w:val="1"/>
      </w:pPr>
      <w:r>
        <w:rPr>
          <w:rFonts w:ascii="Times New Roman" w:hAnsi="Times New Roman" w:eastAsia="Times New Roman"/>
          <w:b w:val="0"/>
          <w:sz w:val="21"/>
        </w:rPr>
        <w:t>19) Öğrenci devam-devamsızlık durumları, rehberlik ihtiyacı ve önleme-müdahale-yönlendirme çalışmalarının değerlendirilmesi</w:t>
      </w:r>
    </w:p>
    <w:p>
      <w:pPr>
        <w:spacing w:after="40"/>
        <w:ind w:left="113" w:hanging="113"/>
        <w:jc w:val="left"/>
        <w:widowControl w:val="1"/>
      </w:pPr>
      <w:r>
        <w:rPr>
          <w:rFonts w:ascii="Times New Roman" w:hAnsi="Times New Roman" w:eastAsia="Times New Roman"/>
          <w:b w:val="0"/>
          <w:sz w:val="21"/>
        </w:rPr>
        <w:t>20) Mesleki paylaşım, ders ziyareti, geri bildirim ve diğer zümrelerle iş birliği esaslarının belirlenmesi</w:t>
      </w:r>
    </w:p>
    <w:p>
      <w:pPr>
        <w:spacing w:after="40"/>
        <w:ind w:left="113" w:hanging="113"/>
        <w:jc w:val="left"/>
        <w:widowControl w:val="1"/>
      </w:pPr>
      <w:r>
        <w:rPr>
          <w:rFonts w:ascii="Times New Roman" w:hAnsi="Times New Roman" w:eastAsia="Times New Roman"/>
          <w:b w:val="0"/>
          <w:sz w:val="21"/>
        </w:rPr>
        <w:t>21) Yıl içinde ihtiyaç duyulacak araç, gereç, kaynak ve diğer desteklerin belirlenmesi</w:t>
      </w:r>
    </w:p>
    <w:p>
      <w:pPr>
        <w:spacing w:after="40"/>
        <w:ind w:left="113" w:hanging="113"/>
        <w:jc w:val="left"/>
        <w:widowControl w:val="1"/>
      </w:pPr>
      <w:r>
        <w:rPr>
          <w:rFonts w:ascii="Times New Roman" w:hAnsi="Times New Roman" w:eastAsia="Times New Roman"/>
          <w:b w:val="0"/>
          <w:sz w:val="21"/>
        </w:rPr>
        <w:t>22) Dilek ve temenniler</w:t>
      </w:r>
    </w:p>
    <w:p>
      <w:pPr>
        <w:spacing w:after="40"/>
        <w:ind w:left="113" w:hanging="113"/>
        <w:jc w:val="left"/>
        <w:widowControl w:val="1"/>
      </w:pPr>
      <w:r>
        <w:rPr>
          <w:rFonts w:ascii="Times New Roman" w:hAnsi="Times New Roman" w:eastAsia="Times New Roman"/>
          <w:b w:val="0"/>
          <w:sz w:val="21"/>
        </w:rPr>
        <w:t>23) Kapanış</w:t>
      </w:r>
    </w:p>
    <w:p>
      <w:pPr>
        <w:widowControl w:val="1"/>
      </w:pPr>
      <w:r>
        <w:br w:type="page"/>
      </w:r>
    </w:p>
    <w:p>
      <w:pPr>
        <w:spacing w:before="0" w:after="20"/>
        <w:jc w:val="center"/>
        <w:widowControl w:val="1"/>
      </w:pPr>
      <w:r>
        <w:rPr>
          <w:rFonts w:ascii="Times New Roman" w:hAnsi="Times New Roman" w:eastAsia="Times New Roman"/>
          <w:b/>
          <w:sz w:val="24"/>
        </w:rPr>
        <w:t>2026-2027 EĞİTİM-ÖĞRETİM YILI</w:t>
      </w:r>
    </w:p>
    <w:p>
      <w:pPr>
        <w:spacing w:before="0" w:after="80"/>
        <w:jc w:val="center"/>
        <w:widowControl w:val="1"/>
      </w:pPr>
      <w:r>
        <w:rPr>
          <w:rFonts w:ascii="Times New Roman" w:hAnsi="Times New Roman" w:eastAsia="Times New Roman"/>
          <w:b/>
          <w:sz w:val="26"/>
        </w:rPr>
        <w:t>FİZİK DERSİ SENE BAŞI ZÜMRE TOPLANTI TUTANAĞI</w:t>
      </w:r>
    </w:p>
    <w:p>
      <w:pPr>
        <w:spacing w:before="40" w:after="160"/>
        <w:jc w:val="center"/>
        <w:widowControl w:val="1"/>
      </w:pPr>
      <w:r>
        <w:rPr>
          <w:rFonts w:ascii="Times New Roman" w:hAnsi="Times New Roman" w:eastAsia="Times New Roman"/>
          <w:b/>
          <w:sz w:val="24"/>
        </w:rPr>
        <w:t>GÜNDEM MADDELERİNİN GÖRÜŞÜLMESİ</w:t>
      </w:r>
    </w:p>
    <w:p>
      <w:pPr>
        <w:pStyle w:val="MaddeBaşlığı"/>
        <w:jc w:val="left"/>
        <w:widowControl w:val="1"/>
      </w:pPr>
      <w:r>
        <w:rPr>
          <w:rFonts w:ascii="Times New Roman" w:hAnsi="Times New Roman" w:eastAsia="Times New Roman"/>
          <w:b/>
          <w:sz w:val="22"/>
        </w:rPr>
        <w:t>1) Açılış ve yoklama</w:t>
      </w:r>
    </w:p>
    <w:p>
      <w:pPr>
        <w:spacing w:after="60" w:line="240" w:lineRule="auto"/>
        <w:ind w:firstLine="397"/>
        <w:jc w:val="both"/>
        <w:widowControl w:val="1"/>
      </w:pPr>
      <w:r>
        <w:rPr>
          <w:rFonts w:ascii="Times New Roman" w:hAnsi="Times New Roman" w:eastAsia="Times New Roman"/>
          <w:b w:val="0"/>
          <w:sz w:val="22"/>
        </w:rPr>
        <w:t>Katılımcıların yoklaması yapılarak toplantı Zümre Başkanı Öğretmen1 tarafından açıldı. Toplantının amacı; eğitim öğretim yılı boyunca Fizik dersinin planlı, ortak ölçütlere dayalı ve öğrenci gelişimini izleyen bir anlayışla yürütülmesi olarak ifade edildi.</w:t>
      </w:r>
    </w:p>
    <w:p>
      <w:pPr>
        <w:pStyle w:val="MaddeBaşlığı"/>
        <w:jc w:val="left"/>
        <w:widowControl w:val="1"/>
      </w:pPr>
      <w:r>
        <w:rPr>
          <w:rFonts w:ascii="Times New Roman" w:hAnsi="Times New Roman" w:eastAsia="Times New Roman"/>
          <w:b/>
          <w:sz w:val="22"/>
        </w:rPr>
        <w:t>2) Toplantı gündeminin onaylanması ve önceki zümre kararlarının değerlendirilmesi</w:t>
      </w:r>
    </w:p>
    <w:p>
      <w:pPr>
        <w:spacing w:after="60" w:line="240" w:lineRule="auto"/>
        <w:ind w:firstLine="397"/>
        <w:jc w:val="both"/>
        <w:widowControl w:val="1"/>
      </w:pPr>
      <w:r>
        <w:rPr>
          <w:rFonts w:ascii="Times New Roman" w:hAnsi="Times New Roman" w:eastAsia="Times New Roman"/>
          <w:b w:val="0"/>
          <w:sz w:val="22"/>
        </w:rPr>
        <w:t>Gündem maddeleri okunarak zümre öğretmenlerinin görüşüne sunuldu ve uygun bulundu. Önceki toplantıda alınan kararların uygulanma durumu değerlendirildi; yeni eğitim öğretim yılında geçerliliğini koruyan kararların devam ettirilmesi, ihtiyaç duyulan alanlarda ise güncelleme yapılması benimsendi.</w:t>
      </w:r>
    </w:p>
    <w:p>
      <w:pPr>
        <w:pStyle w:val="MaddeBaşlığı"/>
        <w:jc w:val="left"/>
        <w:widowControl w:val="1"/>
      </w:pPr>
      <w:r>
        <w:rPr>
          <w:rFonts w:ascii="Times New Roman" w:hAnsi="Times New Roman" w:eastAsia="Times New Roman"/>
          <w:b/>
          <w:sz w:val="22"/>
        </w:rPr>
        <w:t>3) Zümre çalışmalarının işleyişi, görev paylaşımı ve yıl içi koordinasyonun belirlenmesi</w:t>
      </w:r>
    </w:p>
    <w:p>
      <w:pPr>
        <w:spacing w:after="60" w:line="240" w:lineRule="auto"/>
        <w:ind w:firstLine="397"/>
        <w:jc w:val="both"/>
        <w:widowControl w:val="1"/>
      </w:pPr>
      <w:r>
        <w:rPr>
          <w:rFonts w:ascii="Times New Roman" w:hAnsi="Times New Roman" w:eastAsia="Times New Roman"/>
          <w:b w:val="0"/>
          <w:sz w:val="22"/>
        </w:rPr>
        <w:t>Zümre dosyasının düzenli tutulması, ortak çalışmaların zamanında tamamlanması ve sorumlulukların öğretmenler arasında dengeli biçimde paylaşılması görüşüldü. Yıl içindeki ortak sınav, materyal hazırlama, etkinlik ve değerlendirme süreçlerinde iletişimin düzenli sürdürülmesinin önemli olduğu belirtildi.</w:t>
      </w:r>
    </w:p>
    <w:p>
      <w:pPr>
        <w:pStyle w:val="MaddeBaşlığı"/>
        <w:jc w:val="left"/>
        <w:widowControl w:val="1"/>
      </w:pPr>
      <w:r>
        <w:rPr>
          <w:rFonts w:ascii="Times New Roman" w:hAnsi="Times New Roman" w:eastAsia="Times New Roman"/>
          <w:b/>
          <w:sz w:val="22"/>
        </w:rPr>
        <w:t>4) 2026-2027 eğitim öğretim yılına ilişkin mevzuat ile 2026/70 sayılı Genelgenin değerlendirilmesi</w:t>
      </w:r>
    </w:p>
    <w:p>
      <w:pPr>
        <w:spacing w:after="60" w:line="240" w:lineRule="auto"/>
        <w:ind w:firstLine="397"/>
        <w:jc w:val="both"/>
        <w:widowControl w:val="1"/>
      </w:pPr>
      <w:r>
        <w:rPr>
          <w:rFonts w:ascii="Times New Roman" w:hAnsi="Times New Roman" w:eastAsia="Times New Roman"/>
          <w:b w:val="0"/>
          <w:sz w:val="22"/>
        </w:rPr>
        <w:t>Millî Eğitim Bakanlığının 19.08.2026 tarihli ve 2026/70 sayılı “2026-2027 Eğitim ve Öğretim Yılına İlişkin İş ve İşlemler” konulu Genelgesi ile ilgili mevzuat incelendi. Eğitim öğretim faaliyetlerinin planlı yürütülmesi, ölçme ve değerlendirme süreçlerinde ortaklık sağlanması, öğrenci gelişiminin izlenmesi ve Bakanlıkça sunulan dijital kaynaklardan yararlanılması üzerinde duruldu.</w:t>
      </w:r>
    </w:p>
    <w:p>
      <w:pPr>
        <w:pStyle w:val="MaddeBaşlığı"/>
        <w:jc w:val="left"/>
        <w:widowControl w:val="1"/>
      </w:pPr>
      <w:r>
        <w:rPr>
          <w:rFonts w:ascii="Times New Roman" w:hAnsi="Times New Roman" w:eastAsia="Times New Roman"/>
          <w:b/>
          <w:sz w:val="22"/>
        </w:rPr>
        <w:t>5) Türkiye Yüzyılı Maarif Modeli ve Fizik Dersi Öğretim Programının uygulanmasına ilişkin esasların görüşülmesi</w:t>
      </w:r>
    </w:p>
    <w:p>
      <w:pPr>
        <w:spacing w:after="60" w:line="240" w:lineRule="auto"/>
        <w:ind w:firstLine="397"/>
        <w:jc w:val="both"/>
        <w:widowControl w:val="1"/>
      </w:pPr>
      <w:r>
        <w:rPr>
          <w:rFonts w:ascii="Times New Roman" w:hAnsi="Times New Roman" w:eastAsia="Times New Roman"/>
          <w:b w:val="0"/>
          <w:sz w:val="22"/>
        </w:rPr>
        <w:t>9, 10 ve 11. sınıflarda Türkiye Yüzyılı Maarif Modeli kapsamında yer alan bilgi, beceri, değer ve öğrenme kanıtlarının Fizik dersine nasıl yansıtılacağı değerlendirildi. Konuların yalnızca bilgi aktarımıyla sınırlandırılmaması; gözlem, deney, modelleme, veri analizi ve problem çözme süreçleriyle desteklenmesi gerektiği ifade edildi.</w:t>
      </w:r>
    </w:p>
    <w:p>
      <w:pPr>
        <w:pStyle w:val="MaddeBaşlığı"/>
        <w:jc w:val="left"/>
        <w:widowControl w:val="1"/>
      </w:pPr>
      <w:r>
        <w:rPr>
          <w:rFonts w:ascii="Times New Roman" w:hAnsi="Times New Roman" w:eastAsia="Times New Roman"/>
          <w:b/>
          <w:sz w:val="22"/>
        </w:rPr>
        <w:t>6) Yıllık planlar, ders planları, öğrenme çıktıları ve okul temelli planlamaların düzenlenmesi</w:t>
      </w:r>
    </w:p>
    <w:p>
      <w:pPr>
        <w:spacing w:after="60" w:line="240" w:lineRule="auto"/>
        <w:ind w:firstLine="397"/>
        <w:jc w:val="both"/>
        <w:widowControl w:val="1"/>
      </w:pPr>
      <w:r>
        <w:rPr>
          <w:rFonts w:ascii="Times New Roman" w:hAnsi="Times New Roman" w:eastAsia="Times New Roman"/>
          <w:b w:val="0"/>
          <w:sz w:val="22"/>
        </w:rPr>
        <w:t>Yıllık planların öğretim programı, çalışma takvimi, sınıf düzeyi, öğrenci hazırbulunuşluğu ve okulun imkânları dikkate alınarak hazırlanması görüşüldü. Ders planlarında öğrenme çıktıları ile öğrenme-öğretme etkinlikleri ve ölçme kanıtları arasında açık bir ilişki kurulması gerektiği vurgulandı.</w:t>
      </w:r>
    </w:p>
    <w:p>
      <w:pPr>
        <w:pStyle w:val="MaddeBaşlığı"/>
        <w:jc w:val="left"/>
        <w:widowControl w:val="1"/>
      </w:pPr>
      <w:r>
        <w:rPr>
          <w:rFonts w:ascii="Times New Roman" w:hAnsi="Times New Roman" w:eastAsia="Times New Roman"/>
          <w:b/>
          <w:sz w:val="22"/>
        </w:rPr>
        <w:t>7) Derslerde kullanılacak öğretim yöntem ve teknikleri ile öğrenci merkezli uygulamaların belirlenmesi</w:t>
      </w:r>
    </w:p>
    <w:p>
      <w:pPr>
        <w:spacing w:after="60" w:line="240" w:lineRule="auto"/>
        <w:ind w:firstLine="397"/>
        <w:jc w:val="both"/>
        <w:widowControl w:val="1"/>
      </w:pPr>
      <w:r>
        <w:rPr>
          <w:rFonts w:ascii="Times New Roman" w:hAnsi="Times New Roman" w:eastAsia="Times New Roman"/>
          <w:b w:val="0"/>
          <w:sz w:val="22"/>
        </w:rPr>
        <w:t>Fizik derslerinde anlatımın yanı sıra sorgulama, keşfetme, problem çözme, tartışma, deney, model oluşturma ve günlük yaşam bağlamlarından yararlanılmasının öğrenmeyi güçlendireceği değerlendirildi. Öğrencinin derse aktif katılımını artıracak kısa uygulama ve etkinliklere düzenli yer verilmesi benimsendi.</w:t>
      </w:r>
    </w:p>
    <w:p>
      <w:pPr>
        <w:pStyle w:val="MaddeBaşlığı"/>
        <w:jc w:val="left"/>
        <w:widowControl w:val="1"/>
      </w:pPr>
      <w:r>
        <w:rPr>
          <w:rFonts w:ascii="Times New Roman" w:hAnsi="Times New Roman" w:eastAsia="Times New Roman"/>
          <w:b/>
          <w:sz w:val="22"/>
        </w:rPr>
        <w:t>8) Deney, laboratuvar, modelleme, ölçme, veri yorumlama ve problem çözme çalışmalarının planlanması</w:t>
      </w:r>
    </w:p>
    <w:p>
      <w:pPr>
        <w:spacing w:after="60" w:line="240" w:lineRule="auto"/>
        <w:ind w:firstLine="397"/>
        <w:jc w:val="both"/>
        <w:widowControl w:val="1"/>
      </w:pPr>
      <w:r>
        <w:rPr>
          <w:rFonts w:ascii="Times New Roman" w:hAnsi="Times New Roman" w:eastAsia="Times New Roman"/>
          <w:b w:val="0"/>
          <w:sz w:val="22"/>
        </w:rPr>
        <w:t>Deney ve uygulamaların ilgili öğrenme çıktılarıyla bağlantılı, güvenli ve öğrencinin veri toplama-yorumlama becerilerini geliştirecek biçimde yürütülmesi görüşüldü. Uygun konularda fiziksel deneylerin yanında simülasyon, model ve dijital ölçüm araçlarından da yararlanılabileceği belirtildi.</w:t>
      </w:r>
    </w:p>
    <w:p>
      <w:pPr>
        <w:pStyle w:val="MaddeBaşlığı"/>
        <w:jc w:val="left"/>
        <w:widowControl w:val="1"/>
      </w:pPr>
      <w:r>
        <w:rPr>
          <w:rFonts w:ascii="Times New Roman" w:hAnsi="Times New Roman" w:eastAsia="Times New Roman"/>
          <w:b/>
          <w:sz w:val="22"/>
        </w:rPr>
        <w:t>9) Ders araç gereçleri, öğretim materyalleri, bilişim araçları ve Bakanlık dijital platformlarının kullanımı</w:t>
      </w:r>
    </w:p>
    <w:p>
      <w:pPr>
        <w:spacing w:after="60" w:line="240" w:lineRule="auto"/>
        <w:ind w:firstLine="397"/>
        <w:jc w:val="both"/>
        <w:widowControl w:val="1"/>
      </w:pPr>
      <w:r>
        <w:rPr>
          <w:rFonts w:ascii="Times New Roman" w:hAnsi="Times New Roman" w:eastAsia="Times New Roman"/>
          <w:b w:val="0"/>
          <w:sz w:val="22"/>
        </w:rPr>
        <w:t>Ders kitapları, laboratuvar araçları, deney setleri, etkileşimli içerikler ve dijital platformların dersin amacına uygun biçimde kullanılması değerlendirildi. Ortak kullanılacak materyallerin düzenli saklanması, eksiklerin dönem başında belirlenmesi ve hazırlanan nitelikli materyallerin zümre içinde paylaşılması uygun görüldü.</w:t>
      </w:r>
    </w:p>
    <w:p>
      <w:pPr>
        <w:pStyle w:val="MaddeBaşlığı"/>
        <w:jc w:val="left"/>
        <w:widowControl w:val="1"/>
      </w:pPr>
      <w:r>
        <w:rPr>
          <w:rFonts w:ascii="Times New Roman" w:hAnsi="Times New Roman" w:eastAsia="Times New Roman"/>
          <w:b/>
          <w:sz w:val="22"/>
        </w:rPr>
        <w:t>10) İş sağlığı ve güvenliği ile laboratuvar ve uygulama ortamlarında alınacak önlemlerin görüşülmesi</w:t>
      </w:r>
    </w:p>
    <w:p>
      <w:pPr>
        <w:spacing w:after="60" w:line="240" w:lineRule="auto"/>
        <w:ind w:firstLine="397"/>
        <w:jc w:val="both"/>
        <w:widowControl w:val="1"/>
      </w:pPr>
      <w:r>
        <w:rPr>
          <w:rFonts w:ascii="Times New Roman" w:hAnsi="Times New Roman" w:eastAsia="Times New Roman"/>
          <w:b w:val="0"/>
          <w:sz w:val="22"/>
        </w:rPr>
        <w:t>Laboratuvar ve sınıf içi uygulamalarda elektrik, ısı, hareketli düzenekler ve cam malzemeler gibi risk oluşturabilecek unsurlara karşı önceden önlem alınması gerektiği belirtildi. Öğrencilere uygulama öncesinde güvenlik kurallarının açıklanması ve riskli durumların okul yönetimine zamanında bildirilmesi kararlaştırıldı.</w:t>
      </w:r>
    </w:p>
    <w:p>
      <w:pPr>
        <w:pStyle w:val="MaddeBaşlığı"/>
        <w:jc w:val="left"/>
        <w:widowControl w:val="1"/>
      </w:pPr>
      <w:r>
        <w:rPr>
          <w:rFonts w:ascii="Times New Roman" w:hAnsi="Times New Roman" w:eastAsia="Times New Roman"/>
          <w:b/>
          <w:sz w:val="22"/>
        </w:rPr>
        <w:t>11) BEP, farklılaştırma, zenginleştirme ve destekleme çalışmalarının planlanması</w:t>
      </w:r>
    </w:p>
    <w:p>
      <w:pPr>
        <w:spacing w:after="60" w:line="240" w:lineRule="auto"/>
        <w:ind w:firstLine="397"/>
        <w:jc w:val="both"/>
        <w:widowControl w:val="1"/>
      </w:pPr>
      <w:r>
        <w:rPr>
          <w:rFonts w:ascii="Times New Roman" w:hAnsi="Times New Roman" w:eastAsia="Times New Roman"/>
          <w:b w:val="0"/>
          <w:sz w:val="22"/>
        </w:rPr>
        <w:t>Öğrencilerin bireysel farklılıkları, hazırbulunuşlukları ve öğrenme ihtiyaçlarının ders planlarında dikkate alınması görüşüldü. BEP kapsamındaki öğrenciler için uygun uyarlamalar yapılması; desteğe ihtiyaç duyan öğrenciler için temel becerileri güçlendiren çalışmalar, ileri düzey öğrenciler için ise zenginleştirici görevler hazırlanması benimsendi.</w:t>
      </w:r>
    </w:p>
    <w:p>
      <w:pPr>
        <w:pStyle w:val="MaddeBaşlığı"/>
        <w:jc w:val="left"/>
        <w:widowControl w:val="1"/>
      </w:pPr>
      <w:r>
        <w:rPr>
          <w:rFonts w:ascii="Times New Roman" w:hAnsi="Times New Roman" w:eastAsia="Times New Roman"/>
          <w:b/>
          <w:sz w:val="22"/>
        </w:rPr>
        <w:t>12) Ortak yazılılar, mazeret sınavları, uygulamalı sınavlar ve ölçme-değerlendirme araçlarının planlanması</w:t>
      </w:r>
    </w:p>
    <w:p>
      <w:pPr>
        <w:spacing w:after="60" w:line="240" w:lineRule="auto"/>
        <w:ind w:firstLine="397"/>
        <w:jc w:val="both"/>
        <w:widowControl w:val="1"/>
      </w:pPr>
      <w:r>
        <w:rPr>
          <w:rFonts w:ascii="Times New Roman" w:hAnsi="Times New Roman" w:eastAsia="Times New Roman"/>
          <w:b w:val="0"/>
          <w:sz w:val="22"/>
        </w:rPr>
        <w:t>Ortak sınavların ilgili mevzuat ve konu-soru dağılım tablolarına uygun hazırlanması; soruların öğrenme çıktılarını ve farklı bilişsel düzeyleri ölçmesi gerektiği değerlendirildi. Açık uçlu ve kısa cevaplı soruların yanı sıra uygun durumlarda uygulama, gözlem, kontrol listesi ve dereceli puanlama anahtarlarından yararlanılması görüşüldü.</w:t>
      </w:r>
    </w:p>
    <w:p>
      <w:pPr>
        <w:pStyle w:val="MaddeBaşlığı"/>
        <w:jc w:val="left"/>
        <w:widowControl w:val="1"/>
      </w:pPr>
      <w:r>
        <w:rPr>
          <w:rFonts w:ascii="Times New Roman" w:hAnsi="Times New Roman" w:eastAsia="Times New Roman"/>
          <w:b/>
          <w:sz w:val="22"/>
        </w:rPr>
        <w:t>13) Sınav sonuçlarının analizi, öğrenme eksiklerinin giderilmesi ve öğrenci başarısını artıracak çalışmaların belirlenmesi</w:t>
      </w:r>
    </w:p>
    <w:p>
      <w:pPr>
        <w:spacing w:after="60" w:line="240" w:lineRule="auto"/>
        <w:ind w:firstLine="397"/>
        <w:jc w:val="both"/>
        <w:widowControl w:val="1"/>
      </w:pPr>
      <w:r>
        <w:rPr>
          <w:rFonts w:ascii="Times New Roman" w:hAnsi="Times New Roman" w:eastAsia="Times New Roman"/>
          <w:b w:val="0"/>
          <w:sz w:val="22"/>
        </w:rPr>
        <w:t>Sınav ve ders içi değerlendirme sonuçlarının yalnızca not vermek amacıyla değil, öğrenme eksiklerini belirlemek için de kullanılması gerektiği vurgulandı. Sınıf ve soru bazlı analizler yapılarak güçlük yaşanan öğrenme çıktılarının yeniden ele alınması; gerekli durumlarda ek çalışma, soru çözümü ve bireysel geri bildirim yapılması benimsendi.</w:t>
      </w:r>
    </w:p>
    <w:p>
      <w:pPr>
        <w:pStyle w:val="MaddeBaşlığı"/>
        <w:jc w:val="left"/>
        <w:widowControl w:val="1"/>
      </w:pPr>
      <w:r>
        <w:rPr>
          <w:rFonts w:ascii="Times New Roman" w:hAnsi="Times New Roman" w:eastAsia="Times New Roman"/>
          <w:b/>
          <w:sz w:val="22"/>
        </w:rPr>
        <w:t>14) Proje, performans, araştırma, geliştirme, tasarım ve ürün çalışmalarının planlanması</w:t>
      </w:r>
    </w:p>
    <w:p>
      <w:pPr>
        <w:spacing w:after="60" w:line="240" w:lineRule="auto"/>
        <w:ind w:firstLine="397"/>
        <w:jc w:val="both"/>
        <w:widowControl w:val="1"/>
      </w:pPr>
      <w:r>
        <w:rPr>
          <w:rFonts w:ascii="Times New Roman" w:hAnsi="Times New Roman" w:eastAsia="Times New Roman"/>
          <w:b w:val="0"/>
          <w:sz w:val="22"/>
        </w:rPr>
        <w:t>Öğrencilerin araştırma yapma, veri toplama, tasarım geliştirme, ürün oluşturma ve sonuçlarını sunma becerilerini destekleyecek çalışmalar görüşüldü. Proje ve performans görevlerinde süreç kadar ortaya çıkan ürünün de değerlendirilmesi ve ölçütlerin öğrencilere çalışma öncesinde açıklanması gerektiği belirtildi.</w:t>
      </w:r>
    </w:p>
    <w:p>
      <w:pPr>
        <w:pStyle w:val="MaddeBaşlığı"/>
        <w:jc w:val="left"/>
        <w:widowControl w:val="1"/>
      </w:pPr>
      <w:r>
        <w:rPr>
          <w:rFonts w:ascii="Times New Roman" w:hAnsi="Times New Roman" w:eastAsia="Times New Roman"/>
          <w:b/>
          <w:sz w:val="22"/>
        </w:rPr>
        <w:t>15) Disiplinler arası çalışmalar, bilimsel ve teknolojik gelişmeler ile çoklu okuryazarlık becerilerinin derse yansıtılması</w:t>
      </w:r>
    </w:p>
    <w:p>
      <w:pPr>
        <w:spacing w:after="60" w:line="240" w:lineRule="auto"/>
        <w:ind w:firstLine="397"/>
        <w:jc w:val="both"/>
        <w:widowControl w:val="1"/>
      </w:pPr>
      <w:r>
        <w:rPr>
          <w:rFonts w:ascii="Times New Roman" w:hAnsi="Times New Roman" w:eastAsia="Times New Roman"/>
          <w:b w:val="0"/>
          <w:sz w:val="22"/>
        </w:rPr>
        <w:t>Fiziğin matematik, kimya, biyoloji, teknoloji ve günlük yaşamla ilişkili yapısından yararlanılarak disiplinler arası çalışmalar yapılması değerlendirildi. Bilimsel okuryazarlık, veri okuryazarlığı ve teknoloji okuryazarlığını geliştirecek güvenilir kaynak kullanımı, grafik yorumlama ve kanıta dayalı çıkarım çalışmalarına yer verilmesi uygun görüldü.</w:t>
      </w:r>
    </w:p>
    <w:p>
      <w:pPr>
        <w:pStyle w:val="MaddeBaşlığı"/>
        <w:jc w:val="left"/>
        <w:widowControl w:val="1"/>
      </w:pPr>
      <w:r>
        <w:rPr>
          <w:rFonts w:ascii="Times New Roman" w:hAnsi="Times New Roman" w:eastAsia="Times New Roman"/>
          <w:b/>
          <w:sz w:val="22"/>
        </w:rPr>
        <w:t>16) Atatürkçülük konuları, millî-manevi değerler ve sosyal sorumluluk çalışmalarının ders süreçleriyle ilişkilendirilmesi</w:t>
      </w:r>
    </w:p>
    <w:p>
      <w:pPr>
        <w:spacing w:after="60" w:line="240" w:lineRule="auto"/>
        <w:ind w:firstLine="397"/>
        <w:jc w:val="both"/>
        <w:widowControl w:val="1"/>
      </w:pPr>
      <w:r>
        <w:rPr>
          <w:rFonts w:ascii="Times New Roman" w:hAnsi="Times New Roman" w:eastAsia="Times New Roman"/>
          <w:b w:val="0"/>
          <w:sz w:val="22"/>
        </w:rPr>
        <w:t>Öğretim programındaki uygun konuların Atatürk’ün bilime ve eğitime verdiği önem, millî ve manevi değerler, sorumluluk, iş birliği ve etik davranışlarla ilişkilendirilmesi görüşüldü. Bu çalışmaların dersin doğal akışı içinde, konu ve öğrenci düzeyine uygun biçimde yürütülmesi gerektiği vurgulandı.</w:t>
      </w:r>
    </w:p>
    <w:p>
      <w:pPr>
        <w:pStyle w:val="MaddeBaşlığı"/>
        <w:jc w:val="left"/>
        <w:widowControl w:val="1"/>
      </w:pPr>
      <w:r>
        <w:rPr>
          <w:rFonts w:ascii="Times New Roman" w:hAnsi="Times New Roman" w:eastAsia="Times New Roman"/>
          <w:b/>
          <w:sz w:val="22"/>
        </w:rPr>
        <w:t>17) Gezi, gözlem, araştırma ve okul dışı öğrenme etkinliklerinin planlanması</w:t>
      </w:r>
    </w:p>
    <w:p>
      <w:pPr>
        <w:spacing w:after="60" w:line="240" w:lineRule="auto"/>
        <w:ind w:firstLine="397"/>
        <w:jc w:val="both"/>
        <w:widowControl w:val="1"/>
      </w:pPr>
      <w:r>
        <w:rPr>
          <w:rFonts w:ascii="Times New Roman" w:hAnsi="Times New Roman" w:eastAsia="Times New Roman"/>
          <w:b w:val="0"/>
          <w:sz w:val="22"/>
        </w:rPr>
        <w:t>Okul ve çevre imkânları doğrultusunda bilim merkezi, üniversite, enerji tesisi, teknoloji kurumu veya uygun diğer öğrenme ortamlarına yönelik gezi ve gözlem çalışmalarının yapılabileceği değerlendirildi. Etkinliklerin amaç, izin, güvenlik, ulaşım ve değerlendirme aşamalarının önceden planlanması gerektiği belirtildi.</w:t>
      </w:r>
    </w:p>
    <w:p>
      <w:pPr>
        <w:pStyle w:val="MaddeBaşlığı"/>
        <w:jc w:val="left"/>
        <w:widowControl w:val="1"/>
      </w:pPr>
      <w:r>
        <w:rPr>
          <w:rFonts w:ascii="Times New Roman" w:hAnsi="Times New Roman" w:eastAsia="Times New Roman"/>
          <w:b/>
          <w:sz w:val="22"/>
        </w:rPr>
        <w:t>18) Ulusal ve uluslararası sınav, yarışma, proje ve bilimsel etkinliklere yönelik çalışmaların görüşülmesi</w:t>
      </w:r>
    </w:p>
    <w:p>
      <w:pPr>
        <w:spacing w:after="60" w:line="240" w:lineRule="auto"/>
        <w:ind w:firstLine="397"/>
        <w:jc w:val="both"/>
        <w:widowControl w:val="1"/>
      </w:pPr>
      <w:r>
        <w:rPr>
          <w:rFonts w:ascii="Times New Roman" w:hAnsi="Times New Roman" w:eastAsia="Times New Roman"/>
          <w:b w:val="0"/>
          <w:sz w:val="22"/>
        </w:rPr>
        <w:t>Öğrencilerin ilgi ve yeteneklerine göre bilim olimpiyatları, proje yarışmaları, araştırma etkinlikleri ve benzeri çalışmalara yönlendirilmesi görüşüldü. Bu çalışmaların gönüllülük, öğrenci düzeyi ve ders yükü gözetilerek yürütülmesi; başvuru ve takvim bilgilerinin öğrencilere zamanında duyurulması benimsendi.</w:t>
      </w:r>
    </w:p>
    <w:p>
      <w:pPr>
        <w:pStyle w:val="MaddeBaşlığı"/>
        <w:jc w:val="left"/>
        <w:widowControl w:val="1"/>
      </w:pPr>
      <w:r>
        <w:rPr>
          <w:rFonts w:ascii="Times New Roman" w:hAnsi="Times New Roman" w:eastAsia="Times New Roman"/>
          <w:b/>
          <w:sz w:val="22"/>
        </w:rPr>
        <w:t>19) Öğrenci devam-devamsızlık durumları, rehberlik ihtiyacı ve önleme-müdahale-yönlendirme çalışmalarının değerlendirilmesi</w:t>
      </w:r>
    </w:p>
    <w:p>
      <w:pPr>
        <w:spacing w:after="60" w:line="240" w:lineRule="auto"/>
        <w:ind w:firstLine="397"/>
        <w:jc w:val="both"/>
        <w:widowControl w:val="1"/>
      </w:pPr>
      <w:r>
        <w:rPr>
          <w:rFonts w:ascii="Times New Roman" w:hAnsi="Times New Roman" w:eastAsia="Times New Roman"/>
          <w:b w:val="0"/>
          <w:sz w:val="22"/>
        </w:rPr>
        <w:t>Devamsızlığın öğrenme sürecinde birikimli eksiklere yol açabildiği, bu nedenle devam durumlarının düzenli izlenmesi gerektiği ifade edildi. Akademik güçlük, motivasyon kaybı veya uyum sorunu gözlenen öğrenciler için rehberlik servisi, okul yönetimi ve veliyle gerekli iş birliğinin kurulması uygun görüldü.</w:t>
      </w:r>
    </w:p>
    <w:p>
      <w:pPr>
        <w:pStyle w:val="MaddeBaşlığı"/>
        <w:jc w:val="left"/>
        <w:widowControl w:val="1"/>
      </w:pPr>
      <w:r>
        <w:rPr>
          <w:rFonts w:ascii="Times New Roman" w:hAnsi="Times New Roman" w:eastAsia="Times New Roman"/>
          <w:b/>
          <w:sz w:val="22"/>
        </w:rPr>
        <w:t>20) Mesleki paylaşım, ders ziyareti, geri bildirim ve diğer zümrelerle iş birliği esaslarının belirlenmesi</w:t>
      </w:r>
    </w:p>
    <w:p>
      <w:pPr>
        <w:spacing w:after="60" w:line="240" w:lineRule="auto"/>
        <w:ind w:firstLine="397"/>
        <w:jc w:val="both"/>
        <w:widowControl w:val="1"/>
      </w:pPr>
      <w:r>
        <w:rPr>
          <w:rFonts w:ascii="Times New Roman" w:hAnsi="Times New Roman" w:eastAsia="Times New Roman"/>
          <w:b w:val="0"/>
          <w:sz w:val="22"/>
        </w:rPr>
        <w:t>Zümre öğretmenlerinin ders materyali, soru örneği, deney uygulaması ve iyi örnekleri paylaşmasının uygulama birliğine katkı sağlayacağı belirtildi. Uygun zamanlarda ders ziyareti ve karşılıklı geri bildirim yapılması; disiplinler arası çalışmalar için diğer zümrelerle iletişim kurulması görüşüldü.</w:t>
      </w:r>
    </w:p>
    <w:p>
      <w:pPr>
        <w:pStyle w:val="MaddeBaşlığı"/>
        <w:jc w:val="left"/>
        <w:widowControl w:val="1"/>
      </w:pPr>
      <w:r>
        <w:rPr>
          <w:rFonts w:ascii="Times New Roman" w:hAnsi="Times New Roman" w:eastAsia="Times New Roman"/>
          <w:b/>
          <w:sz w:val="22"/>
        </w:rPr>
        <w:t>21) Yıl içinde ihtiyaç duyulacak araç, gereç, kaynak ve diğer desteklerin belirlenmesi</w:t>
      </w:r>
    </w:p>
    <w:p>
      <w:pPr>
        <w:spacing w:after="60" w:line="240" w:lineRule="auto"/>
        <w:ind w:firstLine="397"/>
        <w:jc w:val="both"/>
        <w:widowControl w:val="1"/>
      </w:pPr>
      <w:r>
        <w:rPr>
          <w:rFonts w:ascii="Times New Roman" w:hAnsi="Times New Roman" w:eastAsia="Times New Roman"/>
          <w:b w:val="0"/>
          <w:sz w:val="22"/>
        </w:rPr>
        <w:t>Laboratuvar ve dersliklerde kullanılacak araç gereçlerin mevcut durumu gözden geçirildi. Eksik veya yenilenmesi gereken malzemelerin öncelik sırasına göre listelenmesi, ortak kaynakların verimli kullanılması ve ihtiyaçların okul yönetimine zamanında bildirilmesi uygun görüldü.</w:t>
      </w:r>
    </w:p>
    <w:p>
      <w:pPr>
        <w:pStyle w:val="MaddeBaşlığı"/>
        <w:jc w:val="left"/>
        <w:widowControl w:val="1"/>
      </w:pPr>
      <w:r>
        <w:rPr>
          <w:rFonts w:ascii="Times New Roman" w:hAnsi="Times New Roman" w:eastAsia="Times New Roman"/>
          <w:b/>
          <w:sz w:val="22"/>
        </w:rPr>
        <w:t>22) Dilek ve temenniler</w:t>
      </w:r>
    </w:p>
    <w:p>
      <w:pPr>
        <w:spacing w:after="60" w:line="240" w:lineRule="auto"/>
        <w:ind w:firstLine="397"/>
        <w:jc w:val="both"/>
        <w:widowControl w:val="1"/>
      </w:pPr>
      <w:r>
        <w:rPr>
          <w:rFonts w:ascii="Times New Roman" w:hAnsi="Times New Roman" w:eastAsia="Times New Roman"/>
          <w:b w:val="0"/>
          <w:sz w:val="22"/>
        </w:rPr>
        <w:t>Zümre öğretmenleri eğitim öğretim yılının verimli geçmesine yönelik görüş ve önerilerini paylaştı. Ortak materyal havuzunun geliştirilmesi ve yıl içinde ortaya çıkan ihtiyaçların zümre toplantılarında yeniden değerlendirilmesi yönündeki görüşler benimsendi.</w:t>
      </w:r>
    </w:p>
    <w:p>
      <w:pPr>
        <w:pStyle w:val="MaddeBaşlığı"/>
        <w:jc w:val="left"/>
        <w:widowControl w:val="1"/>
      </w:pPr>
      <w:r>
        <w:rPr>
          <w:rFonts w:ascii="Times New Roman" w:hAnsi="Times New Roman" w:eastAsia="Times New Roman"/>
          <w:b/>
          <w:sz w:val="22"/>
        </w:rPr>
        <w:t>23) Kapanış</w:t>
      </w:r>
    </w:p>
    <w:p>
      <w:pPr>
        <w:spacing w:after="60" w:line="240" w:lineRule="auto"/>
        <w:ind w:firstLine="397"/>
        <w:jc w:val="both"/>
        <w:widowControl w:val="1"/>
      </w:pPr>
      <w:r>
        <w:rPr>
          <w:rFonts w:ascii="Times New Roman" w:hAnsi="Times New Roman" w:eastAsia="Times New Roman"/>
          <w:b w:val="0"/>
          <w:sz w:val="22"/>
        </w:rPr>
        <w:t>Gündemde görüşülecek başka madde kalmadığından alınan kararların uygulanması ve dönem içinde izlenmesi temennisiyle toplantı Zümre Başkanı Öğretmen1 tarafından sona erdirildi.</w:t>
      </w:r>
    </w:p>
    <w:p>
      <w:pPr>
        <w:widowControl w:val="1"/>
      </w:pPr>
      <w:r>
        <w:br w:type="page"/>
      </w:r>
    </w:p>
    <w:p>
      <w:pPr>
        <w:spacing w:before="0" w:after="20"/>
        <w:jc w:val="center"/>
        <w:widowControl w:val="1"/>
      </w:pPr>
      <w:r>
        <w:rPr>
          <w:rFonts w:ascii="Times New Roman" w:hAnsi="Times New Roman" w:eastAsia="Times New Roman"/>
          <w:b/>
          <w:sz w:val="24"/>
        </w:rPr>
        <w:t>2026-2027 EĞİTİM-ÖĞRETİM YILI</w:t>
      </w:r>
    </w:p>
    <w:p>
      <w:pPr>
        <w:spacing w:before="0" w:after="80"/>
        <w:jc w:val="center"/>
        <w:widowControl w:val="1"/>
      </w:pPr>
      <w:r>
        <w:rPr>
          <w:rFonts w:ascii="Times New Roman" w:hAnsi="Times New Roman" w:eastAsia="Times New Roman"/>
          <w:b/>
          <w:sz w:val="26"/>
        </w:rPr>
        <w:t>FİZİK DERSİ SENE BAŞI ZÜMRE TOPLANTI TUTANAĞI</w:t>
      </w:r>
    </w:p>
    <w:p>
      <w:pPr>
        <w:spacing w:before="40" w:after="160"/>
        <w:jc w:val="center"/>
        <w:widowControl w:val="1"/>
      </w:pPr>
      <w:r>
        <w:rPr>
          <w:rFonts w:ascii="Times New Roman" w:hAnsi="Times New Roman" w:eastAsia="Times New Roman"/>
          <w:b/>
          <w:sz w:val="24"/>
        </w:rPr>
        <w:t>ALINAN KARARLAR</w:t>
      </w:r>
    </w:p>
    <w:p>
      <w:pPr>
        <w:spacing w:after="80"/>
        <w:ind w:left="340" w:hanging="340"/>
        <w:jc w:val="both"/>
        <w:widowControl w:val="1"/>
      </w:pPr>
      <w:r>
        <w:rPr>
          <w:rFonts w:ascii="Times New Roman" w:hAnsi="Times New Roman" w:eastAsia="Times New Roman"/>
          <w:b w:val="0"/>
          <w:sz w:val="21"/>
        </w:rPr>
        <w:t>1) Yoklamanın yapılarak toplantıya katılanların tutanakta gösterilmesine;</w:t>
      </w:r>
    </w:p>
    <w:p>
      <w:pPr>
        <w:spacing w:after="80"/>
        <w:ind w:left="340" w:hanging="340"/>
        <w:jc w:val="both"/>
        <w:widowControl w:val="1"/>
      </w:pPr>
      <w:r>
        <w:rPr>
          <w:rFonts w:ascii="Times New Roman" w:hAnsi="Times New Roman" w:eastAsia="Times New Roman"/>
          <w:b w:val="0"/>
          <w:sz w:val="21"/>
        </w:rPr>
        <w:t>2) Gündemin kabul edilmesine, önceki zümre kararlarından geçerliliğini koruyanların uygulanmasına devam edilmesine;</w:t>
      </w:r>
    </w:p>
    <w:p>
      <w:pPr>
        <w:spacing w:after="80"/>
        <w:ind w:left="340" w:hanging="340"/>
        <w:jc w:val="both"/>
        <w:widowControl w:val="1"/>
      </w:pPr>
      <w:r>
        <w:rPr>
          <w:rFonts w:ascii="Times New Roman" w:hAnsi="Times New Roman" w:eastAsia="Times New Roman"/>
          <w:b w:val="0"/>
          <w:sz w:val="21"/>
        </w:rPr>
        <w:t>3) Zümre çalışmalarında görev paylaşımının dengeli yapılmasına ve ortak işlerin belirlenen sürelerde tamamlanmasına;</w:t>
      </w:r>
    </w:p>
    <w:p>
      <w:pPr>
        <w:spacing w:after="80"/>
        <w:ind w:left="340" w:hanging="340"/>
        <w:jc w:val="both"/>
        <w:widowControl w:val="1"/>
      </w:pPr>
      <w:r>
        <w:rPr>
          <w:rFonts w:ascii="Times New Roman" w:hAnsi="Times New Roman" w:eastAsia="Times New Roman"/>
          <w:b w:val="0"/>
          <w:sz w:val="21"/>
        </w:rPr>
        <w:t>4) 2026-2027 eğitim öğretim yılı çalışmalarının ilgili mevzuat ve 2026/70 sayılı Genelgede belirtilen esaslar doğrultusunda yürütülmesine;</w:t>
      </w:r>
    </w:p>
    <w:p>
      <w:pPr>
        <w:spacing w:after="80"/>
        <w:ind w:left="340" w:hanging="340"/>
        <w:jc w:val="both"/>
        <w:widowControl w:val="1"/>
      </w:pPr>
      <w:r>
        <w:rPr>
          <w:rFonts w:ascii="Times New Roman" w:hAnsi="Times New Roman" w:eastAsia="Times New Roman"/>
          <w:b w:val="0"/>
          <w:sz w:val="21"/>
        </w:rPr>
        <w:t>5) 9, 10 ve 11. sınıflarda Türkiye Yüzyılı Maarif Modeli kapsamındaki öğrenme çıktıları, beceriler, değerler ve öğrenme kanıtlarının Fizik dersi uygulamalarına yansıtılmasına;</w:t>
      </w:r>
    </w:p>
    <w:p>
      <w:pPr>
        <w:spacing w:after="80"/>
        <w:ind w:left="340" w:hanging="340"/>
        <w:jc w:val="both"/>
        <w:widowControl w:val="1"/>
      </w:pPr>
      <w:r>
        <w:rPr>
          <w:rFonts w:ascii="Times New Roman" w:hAnsi="Times New Roman" w:eastAsia="Times New Roman"/>
          <w:b w:val="0"/>
          <w:sz w:val="21"/>
        </w:rPr>
        <w:t>6) Yıllık ve ders planlarının öğretim programı, çalışma takvimi, öğrenci düzeyi ve okul şartları dikkate alınarak hazırlanmasına;</w:t>
      </w:r>
    </w:p>
    <w:p>
      <w:pPr>
        <w:spacing w:after="80"/>
        <w:ind w:left="340" w:hanging="340"/>
        <w:jc w:val="both"/>
        <w:widowControl w:val="1"/>
      </w:pPr>
      <w:r>
        <w:rPr>
          <w:rFonts w:ascii="Times New Roman" w:hAnsi="Times New Roman" w:eastAsia="Times New Roman"/>
          <w:b w:val="0"/>
          <w:sz w:val="21"/>
        </w:rPr>
        <w:t>7) Derslerde öğrencinin aktif katılımını sağlayan sorgulama, keşfetme, problem çözme, deney ve modelleme temelli yöntemlere yer verilmesine;</w:t>
      </w:r>
    </w:p>
    <w:p>
      <w:pPr>
        <w:spacing w:after="80"/>
        <w:ind w:left="340" w:hanging="340"/>
        <w:jc w:val="both"/>
        <w:widowControl w:val="1"/>
      </w:pPr>
      <w:r>
        <w:rPr>
          <w:rFonts w:ascii="Times New Roman" w:hAnsi="Times New Roman" w:eastAsia="Times New Roman"/>
          <w:b w:val="0"/>
          <w:sz w:val="21"/>
        </w:rPr>
        <w:t>8) Deney, ölçme, veri yorumlama, modelleme ve problem çözme çalışmalarının sınıf düzeyine uygun biçimde planlanmasına ve öğrenci ürünlerinin izlenmesine;</w:t>
      </w:r>
    </w:p>
    <w:p>
      <w:pPr>
        <w:spacing w:after="80"/>
        <w:ind w:left="340" w:hanging="340"/>
        <w:jc w:val="both"/>
        <w:widowControl w:val="1"/>
      </w:pPr>
      <w:r>
        <w:rPr>
          <w:rFonts w:ascii="Times New Roman" w:hAnsi="Times New Roman" w:eastAsia="Times New Roman"/>
          <w:b w:val="0"/>
          <w:sz w:val="21"/>
        </w:rPr>
        <w:t>9) Ders araç gereçleri ile dijital kaynakların amaca uygun kullanılmasına, ortak materyallerin zümre içinde paylaşılmasına;</w:t>
      </w:r>
    </w:p>
    <w:p>
      <w:pPr>
        <w:spacing w:after="80"/>
        <w:ind w:left="340" w:hanging="340"/>
        <w:jc w:val="both"/>
        <w:widowControl w:val="1"/>
      </w:pPr>
      <w:r>
        <w:rPr>
          <w:rFonts w:ascii="Times New Roman" w:hAnsi="Times New Roman" w:eastAsia="Times New Roman"/>
          <w:b w:val="0"/>
          <w:sz w:val="21"/>
        </w:rPr>
        <w:t>10) Laboratuvar ve uygulama ortamlarında iş sağlığı ve güvenliği tedbirlerinin önceden alınmasına ve öğrencilerin güvenlik kuralları konusunda bilgilendirilmesine;</w:t>
      </w:r>
    </w:p>
    <w:p>
      <w:pPr>
        <w:spacing w:after="80"/>
        <w:ind w:left="340" w:hanging="340"/>
        <w:jc w:val="both"/>
        <w:widowControl w:val="1"/>
      </w:pPr>
      <w:r>
        <w:rPr>
          <w:rFonts w:ascii="Times New Roman" w:hAnsi="Times New Roman" w:eastAsia="Times New Roman"/>
          <w:b w:val="0"/>
          <w:sz w:val="21"/>
        </w:rPr>
        <w:t>11) BEP kapsamındaki öğrenciler için gerekli uyarlamaların yapılmasına; farklılaştırma, destekleme ve zenginleştirme çalışmalarının öğrenci ihtiyacına göre planlanmasına;</w:t>
      </w:r>
    </w:p>
    <w:p>
      <w:pPr>
        <w:spacing w:after="80"/>
        <w:ind w:left="340" w:hanging="340"/>
        <w:jc w:val="both"/>
        <w:widowControl w:val="1"/>
      </w:pPr>
      <w:r>
        <w:rPr>
          <w:rFonts w:ascii="Times New Roman" w:hAnsi="Times New Roman" w:eastAsia="Times New Roman"/>
          <w:b w:val="0"/>
          <w:sz w:val="21"/>
        </w:rPr>
        <w:t>12) Ortak yazılı, mazeret ve uygulamalı sınavların ilgili esaslara ve konu-soru dağılım tablolarına uygun hazırlanmasına; değerlendirmede ortak ve açık ölçütler kullanılmasına;</w:t>
      </w:r>
    </w:p>
    <w:p>
      <w:pPr>
        <w:spacing w:after="80"/>
        <w:ind w:left="340" w:hanging="340"/>
        <w:jc w:val="both"/>
        <w:widowControl w:val="1"/>
      </w:pPr>
      <w:r>
        <w:rPr>
          <w:rFonts w:ascii="Times New Roman" w:hAnsi="Times New Roman" w:eastAsia="Times New Roman"/>
          <w:b w:val="0"/>
          <w:sz w:val="21"/>
        </w:rPr>
        <w:t>13) Sınav analizleri ve ders içi gözlemler sonucunda belirlenen öğrenme eksikleri için destekleyici çalışmalar planlanmasına ve öğrencilere düzenli geri bildirim verilmesine;</w:t>
      </w:r>
    </w:p>
    <w:p>
      <w:pPr>
        <w:spacing w:after="80"/>
        <w:ind w:left="340" w:hanging="340"/>
        <w:jc w:val="both"/>
        <w:widowControl w:val="1"/>
      </w:pPr>
      <w:r>
        <w:rPr>
          <w:rFonts w:ascii="Times New Roman" w:hAnsi="Times New Roman" w:eastAsia="Times New Roman"/>
          <w:b w:val="0"/>
          <w:sz w:val="21"/>
        </w:rPr>
        <w:t>14) Proje, performans, araştırma, tasarım ve ürün çalışmalarında süreç ve sonuç ölçütlerinin önceden belirlenmesine;</w:t>
      </w:r>
    </w:p>
    <w:p>
      <w:pPr>
        <w:spacing w:after="80"/>
        <w:ind w:left="340" w:hanging="340"/>
        <w:jc w:val="both"/>
        <w:widowControl w:val="1"/>
      </w:pPr>
      <w:r>
        <w:rPr>
          <w:rFonts w:ascii="Times New Roman" w:hAnsi="Times New Roman" w:eastAsia="Times New Roman"/>
          <w:b w:val="0"/>
          <w:sz w:val="21"/>
        </w:rPr>
        <w:t>15) Disiplinler arası çalışmalar ile bilimsel, veri ve teknoloji okuryazarlığını geliştiren etkinliklere uygun ölçüde yer verilmesine;</w:t>
      </w:r>
    </w:p>
    <w:p>
      <w:pPr>
        <w:spacing w:after="80"/>
        <w:ind w:left="340" w:hanging="340"/>
        <w:jc w:val="both"/>
        <w:widowControl w:val="1"/>
      </w:pPr>
      <w:r>
        <w:rPr>
          <w:rFonts w:ascii="Times New Roman" w:hAnsi="Times New Roman" w:eastAsia="Times New Roman"/>
          <w:b w:val="0"/>
          <w:sz w:val="21"/>
        </w:rPr>
        <w:t>16) Atatürkçülük konuları, millî-manevi değerler, etik ve sosyal sorumluluk çalışmalarının uygun öğrenme süreçleriyle ilişkilendirilmesine;</w:t>
      </w:r>
    </w:p>
    <w:p>
      <w:pPr>
        <w:spacing w:after="80"/>
        <w:ind w:left="340" w:hanging="340"/>
        <w:jc w:val="both"/>
        <w:widowControl w:val="1"/>
      </w:pPr>
      <w:r>
        <w:rPr>
          <w:rFonts w:ascii="Times New Roman" w:hAnsi="Times New Roman" w:eastAsia="Times New Roman"/>
          <w:b w:val="0"/>
          <w:sz w:val="21"/>
        </w:rPr>
        <w:t>17) Okul dışı öğrenme etkinliklerinin öğrenme amacı, güvenlik, izin ve değerlendirme süreçleri tamamlanarak yürütülmesine;</w:t>
      </w:r>
    </w:p>
    <w:p>
      <w:pPr>
        <w:spacing w:after="80"/>
        <w:ind w:left="340" w:hanging="340"/>
        <w:jc w:val="both"/>
        <w:widowControl w:val="1"/>
      </w:pPr>
      <w:r>
        <w:rPr>
          <w:rFonts w:ascii="Times New Roman" w:hAnsi="Times New Roman" w:eastAsia="Times New Roman"/>
          <w:b w:val="0"/>
          <w:sz w:val="21"/>
        </w:rPr>
        <w:t>18) Öğrencilerin ilgi ve yeteneklerine uygun ulusal ve uluslararası sınav, yarışma, proje ve bilimsel etkinliklere yönlendirilmesine;</w:t>
      </w:r>
    </w:p>
    <w:p>
      <w:pPr>
        <w:spacing w:after="80"/>
        <w:ind w:left="340" w:hanging="340"/>
        <w:jc w:val="both"/>
        <w:widowControl w:val="1"/>
      </w:pPr>
      <w:r>
        <w:rPr>
          <w:rFonts w:ascii="Times New Roman" w:hAnsi="Times New Roman" w:eastAsia="Times New Roman"/>
          <w:b w:val="0"/>
          <w:sz w:val="21"/>
        </w:rPr>
        <w:t>19) Devamsızlık ve akademik risklerin düzenli izlenmesine; ihtiyaç hâlinde rehberlik servisi, veli ve okul yönetimiyle iş birliği yapılmasına;</w:t>
      </w:r>
    </w:p>
    <w:p>
      <w:pPr>
        <w:spacing w:after="80"/>
        <w:ind w:left="340" w:hanging="340"/>
        <w:jc w:val="both"/>
        <w:widowControl w:val="1"/>
      </w:pPr>
      <w:r>
        <w:rPr>
          <w:rFonts w:ascii="Times New Roman" w:hAnsi="Times New Roman" w:eastAsia="Times New Roman"/>
          <w:b w:val="0"/>
          <w:sz w:val="21"/>
        </w:rPr>
        <w:t>20) Zümre içinde mesleki paylaşımın sürdürülmesine, uygun zamanlarda ders ziyareti ve geri bildirim yapılmasına ve diğer zümrelerle ortak çalışmalar geliştirilmesine;</w:t>
      </w:r>
    </w:p>
    <w:p>
      <w:pPr>
        <w:spacing w:after="80"/>
        <w:ind w:left="340" w:hanging="340"/>
        <w:jc w:val="both"/>
        <w:widowControl w:val="1"/>
      </w:pPr>
      <w:r>
        <w:rPr>
          <w:rFonts w:ascii="Times New Roman" w:hAnsi="Times New Roman" w:eastAsia="Times New Roman"/>
          <w:b w:val="0"/>
          <w:sz w:val="21"/>
        </w:rPr>
        <w:t>21) Yıl içinde ihtiyaç duyulan araç, gereç ve kaynakların belirlenerek öncelik sırasıyla okul yönetimine bildirilmesine;</w:t>
      </w:r>
    </w:p>
    <w:p>
      <w:pPr>
        <w:spacing w:after="80"/>
        <w:ind w:left="340" w:hanging="340"/>
        <w:jc w:val="both"/>
        <w:widowControl w:val="1"/>
      </w:pPr>
      <w:r>
        <w:rPr>
          <w:rFonts w:ascii="Times New Roman" w:hAnsi="Times New Roman" w:eastAsia="Times New Roman"/>
          <w:b w:val="0"/>
          <w:sz w:val="21"/>
        </w:rPr>
        <w:t>22) Dilek ve temenniler bölümünde paylaşılan uygulanabilir önerilerin yıl içindeki zümre çalışmalarında dikkate alınmasına;</w:t>
      </w:r>
    </w:p>
    <w:p>
      <w:pPr>
        <w:spacing w:after="80"/>
        <w:ind w:left="340" w:hanging="340"/>
        <w:jc w:val="both"/>
        <w:widowControl w:val="1"/>
      </w:pPr>
      <w:r>
        <w:rPr>
          <w:rFonts w:ascii="Times New Roman" w:hAnsi="Times New Roman" w:eastAsia="Times New Roman"/>
          <w:b w:val="0"/>
          <w:sz w:val="21"/>
        </w:rPr>
        <w:t>23) Toplantıda alınan kararların zümre dosyasına işlenmesine, uygulama durumunun dönem içinde izlenmesine ve gerekli görülen konuların sonraki toplantılarda yeniden değerlendirilmesine karar verildi.</w:t>
      </w:r>
    </w:p>
    <w:p>
      <w:pPr>
        <w:spacing w:before="160" w:after="100"/>
        <w:jc w:val="center"/>
        <w:widowControl w:val="1"/>
        <w:keepNext/>
        <w:pageBreakBefore w:val="1"/>
      </w:pPr>
      <w:r>
        <w:rPr>
          <w:rFonts w:ascii="Times New Roman" w:hAnsi="Times New Roman" w:eastAsia="Times New Roman"/>
          <w:b/>
          <w:sz w:val="24"/>
        </w:rPr>
        <w:t>TOPLANTIYA KATILANLAR</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737"/>
            <w:vAlign w:val="center"/>
            <w:shd w:fill="D9E2F3"/>
          </w:tcPr>
          <w:p>
            <w:pPr>
              <w:jc w:val="center"/>
            </w:pPr>
            <w:r/>
            <w:r>
              <w:rPr>
                <w:rFonts w:ascii="Times New Roman" w:hAnsi="Times New Roman" w:eastAsia="Times New Roman"/>
                <w:b/>
                <w:sz w:val="21"/>
              </w:rPr>
              <w:t>Sıra</w:t>
            </w:r>
          </w:p>
        </w:tc>
        <w:tc>
          <w:tcPr>
            <w:tcW w:type="dxa" w:w="3742"/>
            <w:vAlign w:val="center"/>
            <w:shd w:fill="D9E2F3"/>
          </w:tcPr>
          <w:p>
            <w:pPr>
              <w:jc w:val="center"/>
            </w:pPr>
            <w:r/>
            <w:r>
              <w:rPr>
                <w:rFonts w:ascii="Times New Roman" w:hAnsi="Times New Roman" w:eastAsia="Times New Roman"/>
                <w:b/>
                <w:sz w:val="21"/>
              </w:rPr>
              <w:t>Adı Soyadı</w:t>
            </w:r>
          </w:p>
        </w:tc>
        <w:tc>
          <w:tcPr>
            <w:tcW w:type="dxa" w:w="3288"/>
            <w:vAlign w:val="center"/>
            <w:shd w:fill="D9E2F3"/>
          </w:tcPr>
          <w:p>
            <w:pPr>
              <w:jc w:val="center"/>
            </w:pPr>
            <w:r/>
            <w:r>
              <w:rPr>
                <w:rFonts w:ascii="Times New Roman" w:hAnsi="Times New Roman" w:eastAsia="Times New Roman"/>
                <w:b/>
                <w:sz w:val="21"/>
              </w:rPr>
              <w:t>Görevi</w:t>
            </w:r>
          </w:p>
        </w:tc>
        <w:tc>
          <w:tcPr>
            <w:tcW w:type="dxa" w:w="1701"/>
            <w:vAlign w:val="center"/>
            <w:shd w:fill="D9E2F3"/>
          </w:tcPr>
          <w:p>
            <w:pPr>
              <w:jc w:val="center"/>
            </w:pPr>
            <w:r/>
            <w:r>
              <w:rPr>
                <w:rFonts w:ascii="Times New Roman" w:hAnsi="Times New Roman" w:eastAsia="Times New Roman"/>
                <w:b/>
                <w:sz w:val="21"/>
              </w:rPr>
              <w:t>İmza</w:t>
            </w:r>
          </w:p>
        </w:tc>
      </w:tr>
      <w:tr>
        <w:tc>
          <w:tcPr>
            <w:tcW w:type="dxa" w:w="737"/>
            <w:vAlign w:val="center"/>
          </w:tcPr>
          <w:p>
            <w:pPr>
              <w:jc w:val="center"/>
            </w:pPr>
            <w:r/>
            <w:r>
              <w:rPr>
                <w:rFonts w:ascii="Times New Roman" w:hAnsi="Times New Roman" w:eastAsia="Times New Roman"/>
                <w:b w:val="0"/>
                <w:sz w:val="21"/>
              </w:rPr>
              <w:t>1</w:t>
            </w:r>
          </w:p>
        </w:tc>
        <w:tc>
          <w:tcPr>
            <w:tcW w:type="dxa" w:w="3742"/>
            <w:vAlign w:val="center"/>
          </w:tcPr>
          <w:p>
            <w:pPr>
              <w:jc w:val="left"/>
            </w:pPr>
            <w:r/>
            <w:r>
              <w:rPr>
                <w:rFonts w:ascii="Times New Roman" w:hAnsi="Times New Roman" w:eastAsia="Times New Roman"/>
                <w:b w:val="0"/>
                <w:sz w:val="21"/>
              </w:rPr>
              <w:t>Öğretmen1</w:t>
            </w:r>
          </w:p>
        </w:tc>
        <w:tc>
          <w:tcPr>
            <w:tcW w:type="dxa" w:w="3288"/>
            <w:vAlign w:val="center"/>
          </w:tcPr>
          <w:p>
            <w:pPr>
              <w:jc w:val="left"/>
            </w:pPr>
            <w:r/>
            <w:r>
              <w:rPr>
                <w:rFonts w:ascii="Times New Roman" w:hAnsi="Times New Roman" w:eastAsia="Times New Roman"/>
                <w:b w:val="0"/>
                <w:sz w:val="21"/>
              </w:rPr>
              <w:t>Zümre Başkanı</w:t>
            </w:r>
          </w:p>
        </w:tc>
        <w:tc>
          <w:tcPr>
            <w:tcW w:type="dxa" w:w="1701"/>
            <w:vAlign w:val="center"/>
          </w:tcPr>
          <w:p>
            <w:pPr>
              <w:jc w:val="center"/>
            </w:pPr>
            <w:r/>
            <w:r>
              <w:rPr>
                <w:rFonts w:ascii="Times New Roman" w:hAnsi="Times New Roman" w:eastAsia="Times New Roman"/>
                <w:b w:val="0"/>
                <w:sz w:val="21"/>
              </w:rPr>
            </w:r>
          </w:p>
        </w:tc>
      </w:tr>
      <w:tr>
        <w:tc>
          <w:tcPr>
            <w:tcW w:type="dxa" w:w="737"/>
            <w:vAlign w:val="center"/>
          </w:tcPr>
          <w:p>
            <w:pPr>
              <w:jc w:val="center"/>
            </w:pPr>
            <w:r/>
            <w:r>
              <w:rPr>
                <w:rFonts w:ascii="Times New Roman" w:hAnsi="Times New Roman" w:eastAsia="Times New Roman"/>
                <w:b w:val="0"/>
                <w:sz w:val="21"/>
              </w:rPr>
              <w:t>2</w:t>
            </w:r>
          </w:p>
        </w:tc>
        <w:tc>
          <w:tcPr>
            <w:tcW w:type="dxa" w:w="3742"/>
            <w:vAlign w:val="center"/>
          </w:tcPr>
          <w:p>
            <w:pPr>
              <w:jc w:val="left"/>
            </w:pPr>
            <w:r/>
            <w:r>
              <w:rPr>
                <w:rFonts w:ascii="Times New Roman" w:hAnsi="Times New Roman" w:eastAsia="Times New Roman"/>
                <w:b w:val="0"/>
                <w:sz w:val="21"/>
              </w:rPr>
              <w:t>Öğretmen2</w:t>
            </w:r>
          </w:p>
        </w:tc>
        <w:tc>
          <w:tcPr>
            <w:tcW w:type="dxa" w:w="3288"/>
            <w:vAlign w:val="center"/>
          </w:tcPr>
          <w:p>
            <w:pPr>
              <w:jc w:val="left"/>
            </w:pPr>
            <w:r/>
            <w:r>
              <w:rPr>
                <w:rFonts w:ascii="Times New Roman" w:hAnsi="Times New Roman" w:eastAsia="Times New Roman"/>
                <w:b w:val="0"/>
                <w:sz w:val="21"/>
              </w:rPr>
              <w:t>Zümre Öğretmeni</w:t>
            </w:r>
          </w:p>
        </w:tc>
        <w:tc>
          <w:tcPr>
            <w:tcW w:type="dxa" w:w="1701"/>
            <w:vAlign w:val="center"/>
          </w:tcPr>
          <w:p>
            <w:pPr>
              <w:jc w:val="center"/>
            </w:pPr>
            <w:r/>
            <w:r>
              <w:rPr>
                <w:rFonts w:ascii="Times New Roman" w:hAnsi="Times New Roman" w:eastAsia="Times New Roman"/>
                <w:b w:val="0"/>
                <w:sz w:val="21"/>
              </w:rPr>
            </w:r>
          </w:p>
        </w:tc>
      </w:tr>
      <w:tr>
        <w:tc>
          <w:tcPr>
            <w:tcW w:type="dxa" w:w="737"/>
            <w:vAlign w:val="center"/>
          </w:tcPr>
          <w:p>
            <w:pPr>
              <w:jc w:val="center"/>
            </w:pPr>
            <w:r/>
            <w:r>
              <w:rPr>
                <w:rFonts w:ascii="Times New Roman" w:hAnsi="Times New Roman" w:eastAsia="Times New Roman"/>
                <w:b w:val="0"/>
                <w:sz w:val="21"/>
              </w:rPr>
              <w:t>3</w:t>
            </w:r>
          </w:p>
        </w:tc>
        <w:tc>
          <w:tcPr>
            <w:tcW w:type="dxa" w:w="3742"/>
            <w:vAlign w:val="center"/>
          </w:tcPr>
          <w:p>
            <w:pPr>
              <w:jc w:val="left"/>
            </w:pPr>
            <w:r/>
            <w:r>
              <w:rPr>
                <w:rFonts w:ascii="Times New Roman" w:hAnsi="Times New Roman" w:eastAsia="Times New Roman"/>
                <w:b w:val="0"/>
                <w:sz w:val="21"/>
              </w:rPr>
              <w:t>Öğretmen3</w:t>
            </w:r>
          </w:p>
        </w:tc>
        <w:tc>
          <w:tcPr>
            <w:tcW w:type="dxa" w:w="3288"/>
            <w:vAlign w:val="center"/>
          </w:tcPr>
          <w:p>
            <w:pPr>
              <w:jc w:val="left"/>
            </w:pPr>
            <w:r/>
            <w:r>
              <w:rPr>
                <w:rFonts w:ascii="Times New Roman" w:hAnsi="Times New Roman" w:eastAsia="Times New Roman"/>
                <w:b w:val="0"/>
                <w:sz w:val="21"/>
              </w:rPr>
              <w:t>Zümre Öğretmeni</w:t>
            </w:r>
          </w:p>
        </w:tc>
        <w:tc>
          <w:tcPr>
            <w:tcW w:type="dxa" w:w="1701"/>
            <w:vAlign w:val="center"/>
          </w:tcPr>
          <w:p>
            <w:pPr>
              <w:jc w:val="center"/>
            </w:pPr>
            <w:r/>
            <w:r>
              <w:rPr>
                <w:rFonts w:ascii="Times New Roman" w:hAnsi="Times New Roman" w:eastAsia="Times New Roman"/>
                <w:b w:val="0"/>
                <w:sz w:val="21"/>
              </w:rPr>
            </w:r>
          </w:p>
        </w:tc>
      </w:tr>
      <w:tr>
        <w:tc>
          <w:tcPr>
            <w:tcW w:type="dxa" w:w="737"/>
            <w:vAlign w:val="center"/>
          </w:tcPr>
          <w:p>
            <w:pPr>
              <w:jc w:val="center"/>
            </w:pPr>
            <w:r/>
            <w:r>
              <w:rPr>
                <w:rFonts w:ascii="Times New Roman" w:hAnsi="Times New Roman" w:eastAsia="Times New Roman"/>
                <w:b w:val="0"/>
                <w:sz w:val="21"/>
              </w:rPr>
              <w:t>4</w:t>
            </w:r>
          </w:p>
        </w:tc>
        <w:tc>
          <w:tcPr>
            <w:tcW w:type="dxa" w:w="3742"/>
            <w:vAlign w:val="center"/>
          </w:tcPr>
          <w:p>
            <w:pPr>
              <w:jc w:val="left"/>
            </w:pPr>
            <w:r/>
            <w:r>
              <w:rPr>
                <w:rFonts w:ascii="Times New Roman" w:hAnsi="Times New Roman" w:eastAsia="Times New Roman"/>
                <w:b w:val="0"/>
                <w:sz w:val="21"/>
              </w:rPr>
              <w:t>Öğretmen4</w:t>
            </w:r>
          </w:p>
        </w:tc>
        <w:tc>
          <w:tcPr>
            <w:tcW w:type="dxa" w:w="3288"/>
            <w:vAlign w:val="center"/>
          </w:tcPr>
          <w:p>
            <w:pPr>
              <w:jc w:val="left"/>
            </w:pPr>
            <w:r/>
            <w:r>
              <w:rPr>
                <w:rFonts w:ascii="Times New Roman" w:hAnsi="Times New Roman" w:eastAsia="Times New Roman"/>
                <w:b w:val="0"/>
                <w:sz w:val="21"/>
              </w:rPr>
              <w:t>Zümre Öğretmeni</w:t>
            </w:r>
          </w:p>
        </w:tc>
        <w:tc>
          <w:tcPr>
            <w:tcW w:type="dxa" w:w="1701"/>
            <w:vAlign w:val="center"/>
          </w:tcPr>
          <w:p>
            <w:pPr>
              <w:jc w:val="center"/>
            </w:pPr>
            <w:r/>
            <w:r>
              <w:rPr>
                <w:rFonts w:ascii="Times New Roman" w:hAnsi="Times New Roman" w:eastAsia="Times New Roman"/>
                <w:b w:val="0"/>
                <w:sz w:val="21"/>
              </w:rPr>
            </w:r>
          </w:p>
        </w:tc>
      </w:tr>
    </w:tbl>
    <w:tbl>
      <w:tblPr>
        <w:tblW w:type="auto" w:w="0"/>
        <w:jc w:val="center"/>
        <w:tblLayout w:type="fixed"/>
        <w:tblLook w:firstColumn="1" w:firstRow="1" w:lastColumn="0" w:lastRow="0" w:noHBand="0" w:noVBand="1" w:val="04A0"/>
      </w:tblPr>
      <w:tblGrid>
        <w:gridCol w:w="3213"/>
        <w:gridCol w:w="3213"/>
        <w:gridCol w:w="3213"/>
      </w:tblGrid>
      <w:tr>
        <w:tc>
          <w:tcPr>
            <w:tcW w:type="dxa" w:w="3061"/>
            <w:tcBorders>
              <w:top w:val="nil"/>
              <w:left w:val="nil"/>
              <w:bottom w:val="nil"/>
              <w:right w:val="nil"/>
              <w:insideH w:val="nil"/>
              <w:insideV w:val="nil"/>
            </w:tcBorders>
          </w:tcPr>
          <w:p>
            <w:pPr>
              <w:spacing w:before="240"/>
              <w:jc w:val="center"/>
            </w:pPr>
            <w:r>
              <w:rPr>
                <w:rFonts w:ascii="Times New Roman" w:hAnsi="Times New Roman" w:eastAsia="Times New Roman"/>
                <w:b/>
                <w:sz w:val="22"/>
              </w:rPr>
              <w:t>Öğretmen1</w:t>
              <w:br/>
              <w:t>Zümre Başkanı</w:t>
            </w:r>
          </w:p>
        </w:tc>
        <w:tc>
          <w:tcPr>
            <w:tcW w:type="dxa" w:w="3061"/>
            <w:tcBorders>
              <w:top w:val="nil"/>
              <w:left w:val="nil"/>
              <w:bottom w:val="nil"/>
              <w:right w:val="nil"/>
              <w:insideH w:val="nil"/>
              <w:insideV w:val="nil"/>
            </w:tcBorders>
          </w:tcPr>
          <w:p>
            <w:pPr>
              <w:spacing w:before="240"/>
              <w:jc w:val="center"/>
            </w:pPr>
            <w:r>
              <w:rPr>
                <w:rFonts w:ascii="Times New Roman" w:hAnsi="Times New Roman" w:eastAsia="Times New Roman"/>
                <w:b/>
                <w:sz w:val="22"/>
              </w:rPr>
              <w:t>Müdür Yardımcısı</w:t>
            </w:r>
          </w:p>
        </w:tc>
        <w:tc>
          <w:tcPr>
            <w:tcW w:type="dxa" w:w="3061"/>
            <w:tcBorders>
              <w:top w:val="nil"/>
              <w:left w:val="nil"/>
              <w:bottom w:val="nil"/>
              <w:right w:val="nil"/>
              <w:insideH w:val="nil"/>
              <w:insideV w:val="nil"/>
            </w:tcBorders>
          </w:tcPr>
          <w:p>
            <w:pPr>
              <w:spacing w:before="240"/>
              <w:jc w:val="center"/>
            </w:pPr>
            <w:r>
              <w:rPr>
                <w:rFonts w:ascii="Times New Roman" w:hAnsi="Times New Roman" w:eastAsia="Times New Roman"/>
                <w:b/>
                <w:sz w:val="22"/>
              </w:rPr>
              <w:t>Uygundur.</w:t>
              <w:br/>
              <w:t>Okul Müdürü</w:t>
            </w:r>
          </w:p>
        </w:tc>
      </w:tr>
    </w:tbl>
    <w:sectPr w:rsidR="00FC693F" w:rsidRPr="0006063C" w:rsidSect="00034616">
      <w:pgSz w:w="11906" w:h="16838"/>
      <w:pgMar w:top="964"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addeBaşlığı">
    <w:name w:val="Madde Başlığı"/>
    <w:pPr>
      <w:keepNext/>
      <w:spacing w:before="100" w:after="40"/>
    </w:pPr>
    <w:rPr>
      <w:rFonts w:ascii="Times New Roman" w:hAnsi="Times New Roman"/>
      <w:b/>
      <w:sz w:val="22"/>
    </w:rPr>
  </w:style>
  <w:style w:type="paragraph" w:customStyle="1" w:styleId="BölümBaşlığı">
    <w:name w:val="Bölüm Başlığı"/>
    <w:pPr>
      <w:spacing w:before="60" w:after="120"/>
    </w:pPr>
    <w:rPr>
      <w:rFonts w:ascii="Times New Roman" w:hAnsi="Times New Roman"/>
      <w:b/>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Fizik Dersi Sene Başı Zümre Toplantı Tutanağı</dc:title>
  <dc:subject>Fizik Dersi Zümre Toplantı Tutanağı</dc:subject>
  <dc:creator/>
  <cp:keywords>Fizik, zümre, sene başı, 2026-2027</cp:keywords>
  <dc:description>generated by python-docx</dc:description>
  <cp:lastModifiedBy/>
  <cp:revision>1</cp:revision>
  <dcterms:created xsi:type="dcterms:W3CDTF">2013-12-23T23:15:00Z</dcterms:created>
  <dcterms:modified xsi:type="dcterms:W3CDTF">2013-12-23T23:15:00Z</dcterms:modified>
  <cp:category/>
</cp:coreProperties>
</file>